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45BA" w14:textId="180D151C" w:rsidR="00373A9A" w:rsidRPr="004276E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7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E66DFF" w:rsidRPr="00E66DFF">
        <w:rPr>
          <w:rFonts w:ascii="Arial" w:hAnsi="Arial" w:cs="Arial"/>
          <w:b/>
          <w:bCs/>
          <w:lang w:val="en-US" w:eastAsia="en-US"/>
        </w:rPr>
        <w:t>R2-2203126</w:t>
      </w:r>
      <w:bookmarkStart w:id="1" w:name="_GoBack"/>
      <w:bookmarkEnd w:id="1"/>
    </w:p>
    <w:bookmarkEnd w:id="0"/>
    <w:p w14:paraId="27CAEAD4" w14:textId="1175C58B" w:rsidR="00D92427" w:rsidRPr="00A2055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21</w:t>
      </w:r>
      <w:r>
        <w:rPr>
          <w:rFonts w:ascii="Arial" w:hAnsi="Arial" w:cs="Arial"/>
          <w:b/>
          <w:bCs/>
          <w:vertAlign w:val="superscript"/>
          <w:lang w:val="en-US" w:eastAsia="en-US"/>
        </w:rPr>
        <w:t>st</w:t>
      </w:r>
      <w:r>
        <w:rPr>
          <w:rFonts w:ascii="Arial" w:hAnsi="Arial" w:cs="Arial"/>
          <w:b/>
          <w:bCs/>
          <w:lang w:val="en-US" w:eastAsia="en-US"/>
        </w:rPr>
        <w:t> Feb – 03</w:t>
      </w:r>
      <w:r>
        <w:rPr>
          <w:rFonts w:ascii="Arial" w:hAnsi="Arial" w:cs="Arial"/>
          <w:b/>
          <w:bCs/>
          <w:vertAlign w:val="superscript"/>
          <w:lang w:val="en-US" w:eastAsia="en-US"/>
        </w:rPr>
        <w:t>rd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/>
          <w:b/>
          <w:bCs/>
          <w:lang w:val="en-US"/>
        </w:rPr>
        <w:t>Mar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5A0391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DD6B6A" w:rsidRPr="00DD6B6A">
        <w:rPr>
          <w:rFonts w:ascii="Arial" w:hAnsi="Arial" w:cs="Arial"/>
          <w:b/>
          <w:bCs/>
          <w:lang w:val="en-US" w:eastAsia="en-US"/>
        </w:rPr>
        <w:t>R2-2201386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38C010A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901F2">
        <w:rPr>
          <w:rFonts w:ascii="Arial" w:hAnsi="Arial" w:cs="Arial"/>
          <w:b/>
          <w:bCs/>
          <w:lang w:val="en-US" w:eastAsia="en-US"/>
        </w:rPr>
        <w:t xml:space="preserve">Clarification on the </w:t>
      </w:r>
      <w:r w:rsidR="007901F2">
        <w:rPr>
          <w:rFonts w:ascii="Arial" w:hAnsi="Arial" w:cs="Arial"/>
          <w:b/>
          <w:bCs/>
          <w:lang w:val="en-US"/>
        </w:rPr>
        <w:t>s</w:t>
      </w:r>
      <w:r w:rsidR="00DC3919" w:rsidRPr="00DC3919">
        <w:rPr>
          <w:rFonts w:ascii="Arial" w:hAnsi="Arial" w:cs="Arial"/>
          <w:b/>
          <w:bCs/>
          <w:lang w:val="en-US"/>
        </w:rPr>
        <w:t>erving cell measurement for mTRP</w:t>
      </w:r>
    </w:p>
    <w:p w14:paraId="12450CE5" w14:textId="3FFD7243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15F89" w:rsidRPr="00515F89">
        <w:rPr>
          <w:rFonts w:ascii="Arial" w:hAnsi="Arial" w:cs="Arial"/>
          <w:b/>
          <w:bCs/>
          <w:lang w:val="en-US" w:eastAsia="en-US"/>
        </w:rPr>
        <w:t>8.17.4.1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0A7454F4" w14:textId="740F88A8" w:rsidR="00590C36" w:rsidRDefault="00F073FA" w:rsidP="00140B1F">
      <w:r>
        <w:t xml:space="preserve">According to the </w:t>
      </w:r>
      <w:r w:rsidR="00085FBB">
        <w:t>previous RAN2 discussion</w:t>
      </w:r>
      <w:r>
        <w:t xml:space="preserve"> on the </w:t>
      </w:r>
      <w:r w:rsidR="00004180" w:rsidRPr="005E73D4">
        <w:t xml:space="preserve">L1/L2-centric inter-cell beam management </w:t>
      </w:r>
      <w:r>
        <w:t xml:space="preserve">for feMIMO, RAN2 made the following agreements for </w:t>
      </w:r>
      <w:r w:rsidR="00085FBB">
        <w:t>inter-cell beam management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3E0D" w14:paraId="728EE6BD" w14:textId="77777777" w:rsidTr="007A3E0D">
        <w:tc>
          <w:tcPr>
            <w:tcW w:w="9855" w:type="dxa"/>
          </w:tcPr>
          <w:p w14:paraId="5BAFB047" w14:textId="11DAD8B0" w:rsidR="00B0390E" w:rsidRDefault="00B0390E" w:rsidP="00B0390E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RAN2#114e meeting agreements</w:t>
            </w:r>
            <w:r w:rsidR="00735AF2">
              <w:rPr>
                <w:b w:val="0"/>
                <w:lang w:val="en-US" w:eastAsia="ko-KR"/>
              </w:rPr>
              <w:t xml:space="preserve"> [1]</w:t>
            </w:r>
            <w:r>
              <w:rPr>
                <w:b w:val="0"/>
                <w:lang w:val="en-US" w:eastAsia="ko-KR"/>
              </w:rPr>
              <w:t>:</w:t>
            </w:r>
          </w:p>
          <w:p w14:paraId="7F904A67" w14:textId="77AA4F43" w:rsidR="008D5DDD" w:rsidRDefault="008D5DDD" w:rsidP="00A83DB8">
            <w:pPr>
              <w:pStyle w:val="Agreement"/>
              <w:numPr>
                <w:ilvl w:val="0"/>
                <w:numId w:val="42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RAN2 confirm the simplified procedures on the inter-cell multi-TRP-like model as a baseline RAN2 understanding:</w:t>
            </w:r>
          </w:p>
          <w:p w14:paraId="5D833FF0" w14:textId="77777777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Scenario 1: Inter-cell multi-TRP-like model </w:t>
            </w:r>
          </w:p>
          <w:p w14:paraId="0F38B108" w14:textId="45B97AD6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1. UE receives from </w:t>
            </w:r>
            <w:r w:rsidRPr="004F5632">
              <w:rPr>
                <w:b w:val="0"/>
                <w:highlight w:val="yellow"/>
                <w:lang w:val="en-US" w:eastAsia="ko-KR"/>
              </w:rPr>
              <w:t>serving cell</w:t>
            </w:r>
            <w:r>
              <w:rPr>
                <w:b w:val="0"/>
                <w:lang w:val="en-US" w:eastAsia="ko-KR"/>
              </w:rPr>
              <w:t xml:space="preserve">, configuration of SSBs of the TRP </w:t>
            </w:r>
            <w:r w:rsidRPr="004F5632">
              <w:rPr>
                <w:b w:val="0"/>
                <w:highlight w:val="yellow"/>
                <w:lang w:val="en-US" w:eastAsia="ko-KR"/>
              </w:rPr>
              <w:t>with different PCI</w:t>
            </w:r>
            <w:r>
              <w:rPr>
                <w:b w:val="0"/>
                <w:lang w:val="en-US" w:eastAsia="ko-KR"/>
              </w:rPr>
              <w:t xml:space="preserve"> for beam measurement, and configurations needed to use radio resources for data transmission/reception incl resources for </w:t>
            </w:r>
            <w:r w:rsidR="00B0390E">
              <w:rPr>
                <w:b w:val="0"/>
                <w:lang w:val="en-US" w:eastAsia="ko-KR"/>
              </w:rPr>
              <w:t>different</w:t>
            </w:r>
            <w:r>
              <w:rPr>
                <w:b w:val="0"/>
                <w:lang w:val="en-US" w:eastAsia="ko-KR"/>
              </w:rPr>
              <w:t xml:space="preserve"> PCI. </w:t>
            </w:r>
          </w:p>
          <w:p w14:paraId="0CEC4764" w14:textId="77777777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2. UE performs beam measurement for the TRP with different PCI and report it to serving cell.</w:t>
            </w:r>
          </w:p>
          <w:p w14:paraId="5F7B85BE" w14:textId="77777777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3. Based on the above reports, TCI state(s) associated to the TRP with different PCI is activated from the serving cell (by L1/L2 signaling). </w:t>
            </w:r>
          </w:p>
          <w:p w14:paraId="20C6AFA1" w14:textId="77777777" w:rsidR="008D5DDD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4. UE receives and transmits using UE-dedicated channel on TRP with different PCI. </w:t>
            </w:r>
          </w:p>
          <w:p w14:paraId="02CC4C11" w14:textId="4F50F977" w:rsidR="007A3E0D" w:rsidRPr="009D4214" w:rsidRDefault="008D5DDD" w:rsidP="007D153B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 xml:space="preserve">5. UE should be in coverage of a serving cell always, also for multi-TRP case, e.g. UE should use common channels BCCH PCH etc. from the serving cell (as in legacy). </w:t>
            </w:r>
          </w:p>
        </w:tc>
      </w:tr>
      <w:tr w:rsidR="00B65514" w14:paraId="4CEF19FE" w14:textId="77777777" w:rsidTr="007A3E0D">
        <w:tc>
          <w:tcPr>
            <w:tcW w:w="9855" w:type="dxa"/>
          </w:tcPr>
          <w:p w14:paraId="30231EB7" w14:textId="6C228B2D" w:rsidR="00B65514" w:rsidRDefault="00B65514" w:rsidP="00B0390E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ko-KR"/>
              </w:rPr>
            </w:pPr>
            <w:r>
              <w:rPr>
                <w:b w:val="0"/>
                <w:lang w:val="en-US" w:eastAsia="ko-KR"/>
              </w:rPr>
              <w:t>RAN2#116e meeting agreement</w:t>
            </w:r>
            <w:r w:rsidR="00735AF2">
              <w:rPr>
                <w:b w:val="0"/>
                <w:lang w:val="en-US" w:eastAsia="ko-KR"/>
              </w:rPr>
              <w:t xml:space="preserve"> [6]</w:t>
            </w:r>
            <w:r>
              <w:rPr>
                <w:b w:val="0"/>
                <w:lang w:val="en-US" w:eastAsia="ko-KR"/>
              </w:rPr>
              <w:t>:</w:t>
            </w:r>
          </w:p>
          <w:p w14:paraId="6EAF0F69" w14:textId="69A88C14" w:rsidR="00B65514" w:rsidRPr="00B65514" w:rsidRDefault="004F5632" w:rsidP="004F5632">
            <w:pPr>
              <w:pStyle w:val="Doc-text2"/>
              <w:numPr>
                <w:ilvl w:val="0"/>
                <w:numId w:val="43"/>
              </w:numPr>
              <w:rPr>
                <w:lang w:val="en-US" w:eastAsia="ko-KR"/>
              </w:rPr>
            </w:pPr>
            <w:r w:rsidRPr="004F5632">
              <w:rPr>
                <w:highlight w:val="yellow"/>
              </w:rPr>
              <w:t>Add</w:t>
            </w:r>
            <w:r>
              <w:t xml:space="preserve"> SSB/</w:t>
            </w:r>
            <w:r w:rsidRPr="004F5632">
              <w:rPr>
                <w:highlight w:val="yellow"/>
              </w:rPr>
              <w:t xml:space="preserve">PCI information for ICBM as cell-level information </w:t>
            </w:r>
            <w:r>
              <w:t>and link unified TCI state information to that. FFS on exact Stage-3 details.</w:t>
            </w:r>
          </w:p>
        </w:tc>
      </w:tr>
    </w:tbl>
    <w:p w14:paraId="3C1345C8" w14:textId="2FA70171" w:rsidR="00F073FA" w:rsidRDefault="00767D92" w:rsidP="00140B1F">
      <w:r>
        <w:t xml:space="preserve">According to the RAN#92-e meeting discussion, RAN decided to </w:t>
      </w:r>
      <w:r w:rsidR="00572BA3">
        <w:t xml:space="preserve">only consider the </w:t>
      </w:r>
      <w:r w:rsidR="00C05063">
        <w:t>“</w:t>
      </w:r>
      <w:r w:rsidR="00C05063">
        <w:rPr>
          <w:i/>
          <w:color w:val="000000" w:themeColor="text1"/>
          <w:sz w:val="20"/>
        </w:rPr>
        <w:t>inter-cell-mTRP-like model</w:t>
      </w:r>
      <w:r w:rsidR="00C05063">
        <w:t>” in Rel-17.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34F2" w14:paraId="79578E5B" w14:textId="77777777" w:rsidTr="006B34F2">
        <w:tc>
          <w:tcPr>
            <w:tcW w:w="9855" w:type="dxa"/>
          </w:tcPr>
          <w:p w14:paraId="64183909" w14:textId="77777777" w:rsidR="006B34F2" w:rsidRDefault="006B34F2" w:rsidP="006B34F2">
            <w:pPr>
              <w:snapToGrid w:val="0"/>
              <w:spacing w:after="60"/>
              <w:rPr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Proposed way forward (WF) (outcome of the intermediate round)</w:t>
            </w:r>
            <w:r>
              <w:rPr>
                <w:color w:val="000000" w:themeColor="text1"/>
                <w:sz w:val="20"/>
              </w:rPr>
              <w:t xml:space="preserve">: </w:t>
            </w:r>
          </w:p>
          <w:p w14:paraId="10510A0E" w14:textId="77777777" w:rsidR="006B34F2" w:rsidRDefault="006B34F2" w:rsidP="006B34F2">
            <w:pPr>
              <w:snapToGrid w:val="0"/>
              <w:spacing w:after="60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</w:rPr>
              <w:t>On the scope of Rel-17 NR_FeMIMO:</w:t>
            </w:r>
          </w:p>
          <w:p w14:paraId="0FFB7143" w14:textId="3DEB83CC" w:rsidR="006B34F2" w:rsidRDefault="006B34F2" w:rsidP="006B34F2">
            <w:pPr>
              <w:pStyle w:val="ListParagraph"/>
              <w:numPr>
                <w:ilvl w:val="0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RAN confirms that inter-cell mTRP in RAN1 work only considers multi-DCI and multi-PDSCH reception (per WI objective). Any scheme tailored for reception of a single PDCCH and/or a single PDSCH is not supported in Rel-17 mTRP.</w:t>
            </w:r>
          </w:p>
          <w:p w14:paraId="3C34D754" w14:textId="77777777" w:rsidR="006B34F2" w:rsidRDefault="006B34F2" w:rsidP="006B34F2">
            <w:pPr>
              <w:pStyle w:val="ListParagraph"/>
              <w:numPr>
                <w:ilvl w:val="0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Regarding scope and workflow of L1/L2-centric inter-cell beam management for multi-beam enhancement, for Rel-17:</w:t>
            </w:r>
          </w:p>
          <w:p w14:paraId="52359000" w14:textId="77777777" w:rsidR="006B34F2" w:rsidRDefault="006B34F2" w:rsidP="006B34F2">
            <w:pPr>
              <w:pStyle w:val="ListParagraph"/>
              <w:numPr>
                <w:ilvl w:val="1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Only scenario for inter-cell-mTRP-like model (with no change in serving cell) will be considered in Rel-17. </w:t>
            </w:r>
          </w:p>
          <w:p w14:paraId="6BE22BB6" w14:textId="3DC912A6" w:rsidR="006B34F2" w:rsidRDefault="006B34F2" w:rsidP="006B34F2">
            <w:pPr>
              <w:pStyle w:val="ListParagraph"/>
              <w:numPr>
                <w:ilvl w:val="2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Scenarios where change in serving cell via a L1/L2-triggered handover scheme are not considered in Rel-17 and may be considered in Rel-18</w:t>
            </w:r>
          </w:p>
          <w:p w14:paraId="5EB3CB8B" w14:textId="65DD438B" w:rsidR="006B34F2" w:rsidRDefault="006B34F2" w:rsidP="006B34F2">
            <w:pPr>
              <w:pStyle w:val="ListParagraph"/>
              <w:numPr>
                <w:ilvl w:val="2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Further discuss how to clarify the Rel-17 objectives associated with scenario 1 for L1/L2-centric inter-cell beam management (during later round(s))</w:t>
            </w:r>
          </w:p>
          <w:p w14:paraId="32947906" w14:textId="77777777" w:rsidR="006B34F2" w:rsidRDefault="006B34F2" w:rsidP="006B34F2">
            <w:pPr>
              <w:pStyle w:val="ListParagraph"/>
              <w:numPr>
                <w:ilvl w:val="1"/>
                <w:numId w:val="39"/>
              </w:numPr>
              <w:snapToGrid w:val="0"/>
              <w:spacing w:after="60" w:line="288" w:lineRule="auto"/>
              <w:ind w:firstLineChars="0"/>
              <w:contextualSpacing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 xml:space="preserve">Only intra-DU and intra-frequency scenarios will be considered in Rel-17 (excluding inter-DU or inter-frequency scenarios) </w:t>
            </w:r>
          </w:p>
          <w:p w14:paraId="4DB6D007" w14:textId="5176EA8B" w:rsidR="006B34F2" w:rsidRPr="005841FA" w:rsidRDefault="006B34F2" w:rsidP="00140B1F">
            <w:pPr>
              <w:pStyle w:val="ListParagraph"/>
              <w:numPr>
                <w:ilvl w:val="1"/>
                <w:numId w:val="39"/>
              </w:numPr>
              <w:tabs>
                <w:tab w:val="num" w:pos="1002"/>
              </w:tabs>
              <w:snapToGrid w:val="0"/>
              <w:spacing w:after="60" w:line="256" w:lineRule="auto"/>
              <w:ind w:left="1002" w:firstLineChars="0" w:hanging="576"/>
              <w:contextualSpacing/>
              <w:jc w:val="both"/>
              <w:rPr>
                <w:i/>
                <w:color w:val="000000" w:themeColor="text1"/>
                <w:sz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In RAN1#106-e, conclude on the</w:t>
            </w:r>
            <w:r>
              <w:rPr>
                <w:rFonts w:eastAsia="Calibri"/>
                <w:i/>
                <w:sz w:val="20"/>
                <w:szCs w:val="20"/>
              </w:rPr>
              <w:t xml:space="preserve"> synchronization and the timing advance assumptions between the cells</w:t>
            </w:r>
          </w:p>
        </w:tc>
      </w:tr>
    </w:tbl>
    <w:p w14:paraId="6B3D698A" w14:textId="5020A6C9" w:rsidR="00FD1DE8" w:rsidRDefault="005841FA" w:rsidP="00140B1F">
      <w:r>
        <w:lastRenderedPageBreak/>
        <w:t xml:space="preserve">In this contribution, we discuss the RAN2 serving cell measurement impacts brought by the </w:t>
      </w:r>
      <w:r w:rsidR="00327DC1">
        <w:t>“</w:t>
      </w:r>
      <w:r w:rsidR="00327DC1">
        <w:rPr>
          <w:i/>
          <w:color w:val="000000" w:themeColor="text1"/>
          <w:sz w:val="20"/>
        </w:rPr>
        <w:t>inter-cell-mTRP-like model</w:t>
      </w:r>
      <w:r w:rsidR="00327DC1">
        <w:t>”.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61D3E7BD" w:rsidR="00B02966" w:rsidRPr="00C71CD7" w:rsidRDefault="006C0EE6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Serving cell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C5368" w14:paraId="42BD2422" w14:textId="77777777" w:rsidTr="00462EB1">
        <w:tc>
          <w:tcPr>
            <w:tcW w:w="9855" w:type="dxa"/>
          </w:tcPr>
          <w:p w14:paraId="282230F6" w14:textId="77777777" w:rsidR="008C5368" w:rsidRDefault="008C5368" w:rsidP="00462EB1">
            <w:pPr>
              <w:rPr>
                <w:lang w:eastAsia="ko-KR"/>
              </w:rPr>
            </w:pPr>
            <w:r w:rsidRPr="00E41FC9">
              <w:rPr>
                <w:noProof/>
                <w:lang w:val="en-US"/>
              </w:rPr>
              <w:drawing>
                <wp:inline distT="0" distB="0" distL="0" distR="0" wp14:anchorId="2FF68F53" wp14:editId="20E525D8">
                  <wp:extent cx="6114415" cy="2870200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287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368" w14:paraId="028E80F9" w14:textId="77777777" w:rsidTr="00462EB1">
        <w:tc>
          <w:tcPr>
            <w:tcW w:w="9855" w:type="dxa"/>
          </w:tcPr>
          <w:p w14:paraId="6D20133A" w14:textId="162B0866" w:rsidR="008C5368" w:rsidRPr="00E41FC9" w:rsidRDefault="009B76FC" w:rsidP="00462EB1">
            <w:pPr>
              <w:rPr>
                <w:noProof/>
                <w:lang w:val="en-US"/>
              </w:rPr>
            </w:pPr>
            <w:r w:rsidRPr="009B76FC">
              <w:rPr>
                <w:noProof/>
                <w:lang w:val="en-US"/>
              </w:rPr>
              <w:drawing>
                <wp:inline distT="0" distB="0" distL="0" distR="0" wp14:anchorId="19253ED7" wp14:editId="32162235">
                  <wp:extent cx="6114415" cy="3490595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34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1FCCC2" w14:textId="3A8CE419" w:rsidR="00593F2C" w:rsidRDefault="00593F2C" w:rsidP="0085302D">
      <w:pPr>
        <w:rPr>
          <w:lang w:eastAsia="ko-KR"/>
        </w:rPr>
      </w:pPr>
      <w:r>
        <w:rPr>
          <w:lang w:eastAsia="ko-KR"/>
        </w:rPr>
        <w:t>According to</w:t>
      </w:r>
      <w:r w:rsidR="00225579">
        <w:rPr>
          <w:lang w:eastAsia="ko-KR"/>
        </w:rPr>
        <w:t xml:space="preserve"> the current RRC specification [3]</w:t>
      </w:r>
      <w:r w:rsidR="00793C61">
        <w:rPr>
          <w:lang w:eastAsia="ko-KR"/>
        </w:rPr>
        <w:t xml:space="preserve"> as quoted </w:t>
      </w:r>
      <w:r w:rsidR="00C91410">
        <w:rPr>
          <w:lang w:eastAsia="ko-KR"/>
        </w:rPr>
        <w:t>above</w:t>
      </w:r>
      <w:r w:rsidR="00225579">
        <w:rPr>
          <w:lang w:eastAsia="ko-KR"/>
        </w:rPr>
        <w:t>,</w:t>
      </w:r>
      <w:r w:rsidR="004D26CA">
        <w:rPr>
          <w:lang w:eastAsia="ko-KR"/>
        </w:rPr>
        <w:t xml:space="preserve"> the UE would only measure the frequency of the serving cell, as provided by the </w:t>
      </w:r>
      <w:r w:rsidR="002A3DF9" w:rsidRPr="00DE5341">
        <w:rPr>
          <w:i/>
        </w:rPr>
        <w:t>servingCellMO</w:t>
      </w:r>
      <w:r w:rsidR="00061D23">
        <w:t xml:space="preserve"> in the </w:t>
      </w:r>
      <w:r w:rsidR="00061D23" w:rsidRPr="008E63B7">
        <w:rPr>
          <w:i/>
        </w:rPr>
        <w:t>ServingCellConfig</w:t>
      </w:r>
      <w:r w:rsidR="00061D23">
        <w:t xml:space="preserve"> IE.</w:t>
      </w:r>
      <w:r w:rsidR="00793C61">
        <w:t xml:space="preserve"> The </w:t>
      </w:r>
      <w:r w:rsidR="0094773C" w:rsidRPr="00DE5341">
        <w:rPr>
          <w:i/>
        </w:rPr>
        <w:t>servingCellMO</w:t>
      </w:r>
      <w:r w:rsidR="0094773C">
        <w:t xml:space="preserve"> contains the measurement object</w:t>
      </w:r>
      <w:r w:rsidR="00822082">
        <w:t xml:space="preserve"> providing the </w:t>
      </w:r>
      <w:r w:rsidR="00553BB5">
        <w:t xml:space="preserve">measurement frequency (i.e. </w:t>
      </w:r>
      <w:r w:rsidR="00BE549B">
        <w:t>ssbFrequency</w:t>
      </w:r>
      <w:r w:rsidR="00553BB5">
        <w:t>)</w:t>
      </w:r>
      <w:r w:rsidR="00C14C5B">
        <w:t>,</w:t>
      </w:r>
      <w:r w:rsidR="00BE549B">
        <w:t xml:space="preserve"> the </w:t>
      </w:r>
      <w:r w:rsidR="00D95643">
        <w:t>reference signal configuration</w:t>
      </w:r>
      <w:r w:rsidR="005A78B1">
        <w:t xml:space="preserve"> (i</w:t>
      </w:r>
      <w:r w:rsidR="008375FD">
        <w:t>.e. referenceSignalConfig</w:t>
      </w:r>
      <w:r w:rsidR="005A78B1">
        <w:t>)</w:t>
      </w:r>
      <w:r w:rsidR="00C14C5B">
        <w:t>, and the cell-specific</w:t>
      </w:r>
      <w:r w:rsidR="00F95A1C">
        <w:t xml:space="preserve"> offsets</w:t>
      </w:r>
      <w:r w:rsidR="00C14C5B">
        <w:t xml:space="preserve"> (i.e. </w:t>
      </w:r>
      <w:r w:rsidR="00C106BD">
        <w:t>cellsToAddModList</w:t>
      </w:r>
      <w:r w:rsidR="00C14C5B">
        <w:t>)</w:t>
      </w:r>
      <w:r w:rsidR="0019637A">
        <w:t>.</w:t>
      </w:r>
      <w:r w:rsidR="004F32DD">
        <w:t xml:space="preserve"> </w:t>
      </w:r>
      <w:r w:rsidR="004F32DD">
        <w:lastRenderedPageBreak/>
        <w:t xml:space="preserve">According to the current </w:t>
      </w:r>
      <w:r w:rsidR="004F32DD" w:rsidRPr="00DE5341">
        <w:rPr>
          <w:i/>
        </w:rPr>
        <w:t>servingCellMO</w:t>
      </w:r>
      <w:r w:rsidR="004F32DD">
        <w:t xml:space="preserve"> configuration, the UE can obtain the measurement results of multiple PCI(s)</w:t>
      </w:r>
      <w:r w:rsidR="00450347">
        <w:t xml:space="preserve"> including the serving cell PCI</w:t>
      </w:r>
      <w:r w:rsidR="009349AB">
        <w:t>s, when multiple PCIs are associated to the same serving cell</w:t>
      </w:r>
      <w:r w:rsidR="0010467F">
        <w:t>.</w:t>
      </w:r>
    </w:p>
    <w:p w14:paraId="169AFE85" w14:textId="77777777" w:rsidR="00E62B2C" w:rsidRPr="00F13B6A" w:rsidRDefault="00E62B2C" w:rsidP="00E62B2C">
      <w:pPr>
        <w:rPr>
          <w:b/>
          <w:lang w:eastAsia="ko-KR"/>
        </w:rPr>
      </w:pPr>
      <w:r w:rsidRPr="00F13B6A">
        <w:rPr>
          <w:b/>
          <w:lang w:eastAsia="ko-KR"/>
        </w:rPr>
        <w:t xml:space="preserve">Observation 1: </w:t>
      </w:r>
      <w:r w:rsidRPr="00F13B6A">
        <w:rPr>
          <w:b/>
        </w:rPr>
        <w:t xml:space="preserve">According to the current </w:t>
      </w:r>
      <w:r w:rsidRPr="00F13B6A">
        <w:rPr>
          <w:b/>
          <w:i/>
        </w:rPr>
        <w:t>servingCellMO</w:t>
      </w:r>
      <w:r w:rsidRPr="00F13B6A">
        <w:rPr>
          <w:b/>
        </w:rPr>
        <w:t xml:space="preserve"> configuration, the UE obtain</w:t>
      </w:r>
      <w:r>
        <w:rPr>
          <w:b/>
        </w:rPr>
        <w:t>s</w:t>
      </w:r>
      <w:r w:rsidRPr="00F13B6A">
        <w:rPr>
          <w:b/>
        </w:rPr>
        <w:t xml:space="preserve"> the measurement results of multiple PCI(s) </w:t>
      </w:r>
      <w:r>
        <w:rPr>
          <w:b/>
        </w:rPr>
        <w:t>(</w:t>
      </w:r>
      <w:r w:rsidRPr="00F13B6A">
        <w:rPr>
          <w:b/>
        </w:rPr>
        <w:t xml:space="preserve">including </w:t>
      </w:r>
      <w:r>
        <w:rPr>
          <w:b/>
        </w:rPr>
        <w:t>multiple</w:t>
      </w:r>
      <w:r w:rsidRPr="00F13B6A">
        <w:rPr>
          <w:b/>
        </w:rPr>
        <w:t xml:space="preserve"> serving cell PCIs</w:t>
      </w:r>
      <w:r>
        <w:rPr>
          <w:b/>
        </w:rPr>
        <w:t>)</w:t>
      </w:r>
      <w:r w:rsidRPr="00F13B6A">
        <w:rPr>
          <w:b/>
        </w:rPr>
        <w:t>, when multiple PCIs are associated to the same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350" w14:paraId="21914B25" w14:textId="77777777" w:rsidTr="001E0350">
        <w:tc>
          <w:tcPr>
            <w:tcW w:w="9855" w:type="dxa"/>
          </w:tcPr>
          <w:p w14:paraId="1DC82071" w14:textId="006032AD" w:rsidR="001E0350" w:rsidRDefault="00EF64B3" w:rsidP="0085302D">
            <w:pPr>
              <w:rPr>
                <w:lang w:eastAsia="ko-KR"/>
              </w:rPr>
            </w:pPr>
            <w:r w:rsidRPr="00EF64B3">
              <w:rPr>
                <w:noProof/>
                <w:lang w:val="en-US"/>
              </w:rPr>
              <w:drawing>
                <wp:inline distT="0" distB="0" distL="0" distR="0" wp14:anchorId="60CE0BBD" wp14:editId="16CAE281">
                  <wp:extent cx="6114415" cy="1399540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E99" w14:paraId="56365D4B" w14:textId="77777777" w:rsidTr="001E0350">
        <w:tc>
          <w:tcPr>
            <w:tcW w:w="9855" w:type="dxa"/>
          </w:tcPr>
          <w:p w14:paraId="01D7FDF5" w14:textId="390457F6" w:rsidR="00D15E99" w:rsidRPr="00EF64B3" w:rsidRDefault="00D15E99" w:rsidP="0085302D">
            <w:pPr>
              <w:rPr>
                <w:noProof/>
                <w:lang w:val="en-US"/>
              </w:rPr>
            </w:pPr>
            <w:r w:rsidRPr="00D15E99">
              <w:rPr>
                <w:noProof/>
                <w:lang w:val="en-US"/>
              </w:rPr>
              <w:drawing>
                <wp:inline distT="0" distB="0" distL="0" distR="0" wp14:anchorId="4429CD70" wp14:editId="14C086E9">
                  <wp:extent cx="6114415" cy="4070985"/>
                  <wp:effectExtent l="0" t="0" r="635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407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3C8" w14:paraId="3648E030" w14:textId="77777777" w:rsidTr="001E0350">
        <w:tc>
          <w:tcPr>
            <w:tcW w:w="9855" w:type="dxa"/>
          </w:tcPr>
          <w:p w14:paraId="2F3F9BCD" w14:textId="487CE9A0" w:rsidR="003C53C8" w:rsidRPr="00D15E99" w:rsidRDefault="003C53C8" w:rsidP="0085302D">
            <w:pPr>
              <w:rPr>
                <w:noProof/>
                <w:lang w:val="en-US"/>
              </w:rPr>
            </w:pPr>
            <w:r w:rsidRPr="003C53C8">
              <w:rPr>
                <w:noProof/>
                <w:lang w:val="en-US"/>
              </w:rPr>
              <w:drawing>
                <wp:inline distT="0" distB="0" distL="0" distR="0" wp14:anchorId="47791839" wp14:editId="1A51A03C">
                  <wp:extent cx="6114415" cy="1240155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24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721F79" w14:textId="27B58F4B" w:rsidR="00712E3A" w:rsidRDefault="00712E3A" w:rsidP="0085302D">
      <w:pPr>
        <w:rPr>
          <w:lang w:eastAsia="ko-KR"/>
        </w:rPr>
      </w:pPr>
      <w:r>
        <w:rPr>
          <w:lang w:eastAsia="ko-KR"/>
        </w:rPr>
        <w:t>According to the measurement report configuration as quoted above</w:t>
      </w:r>
      <w:r w:rsidR="009D6B52">
        <w:rPr>
          <w:lang w:eastAsia="ko-KR"/>
        </w:rPr>
        <w:t>, the event</w:t>
      </w:r>
      <w:r w:rsidR="00A724C5">
        <w:rPr>
          <w:lang w:eastAsia="ko-KR"/>
        </w:rPr>
        <w:t>-triggered or periodical measurement report configuration</w:t>
      </w:r>
      <w:r w:rsidR="009D6B52">
        <w:rPr>
          <w:lang w:eastAsia="ko-KR"/>
        </w:rPr>
        <w:t xml:space="preserve"> does not </w:t>
      </w:r>
      <w:r w:rsidR="00DC7084">
        <w:rPr>
          <w:lang w:eastAsia="ko-KR"/>
        </w:rPr>
        <w:t xml:space="preserve">indicate </w:t>
      </w:r>
      <w:r w:rsidR="004077D8">
        <w:rPr>
          <w:lang w:eastAsia="ko-KR"/>
        </w:rPr>
        <w:t xml:space="preserve">which </w:t>
      </w:r>
      <w:r w:rsidR="00DC7084">
        <w:rPr>
          <w:lang w:eastAsia="ko-KR"/>
        </w:rPr>
        <w:t>PCI</w:t>
      </w:r>
      <w:r w:rsidR="004077D8">
        <w:rPr>
          <w:lang w:eastAsia="ko-KR"/>
        </w:rPr>
        <w:t xml:space="preserve"> is</w:t>
      </w:r>
      <w:r w:rsidR="00DC7084">
        <w:rPr>
          <w:lang w:eastAsia="ko-KR"/>
        </w:rPr>
        <w:t xml:space="preserve"> used for the </w:t>
      </w:r>
      <w:r w:rsidR="00B336F7">
        <w:rPr>
          <w:lang w:eastAsia="ko-KR"/>
        </w:rPr>
        <w:t xml:space="preserve">measurement </w:t>
      </w:r>
      <w:r w:rsidR="00DC7084">
        <w:rPr>
          <w:lang w:eastAsia="ko-KR"/>
        </w:rPr>
        <w:t>event evaluation</w:t>
      </w:r>
      <w:r w:rsidR="00FE4D40">
        <w:rPr>
          <w:lang w:eastAsia="ko-KR"/>
        </w:rPr>
        <w:t xml:space="preserve"> or which PCI needs to be reported</w:t>
      </w:r>
      <w:r w:rsidR="00FB6E6B">
        <w:rPr>
          <w:lang w:eastAsia="ko-KR"/>
        </w:rPr>
        <w:t xml:space="preserve"> (e.g. when a measurement event is triggered)</w:t>
      </w:r>
      <w:r w:rsidR="0044703D">
        <w:rPr>
          <w:lang w:eastAsia="ko-KR"/>
        </w:rPr>
        <w:t xml:space="preserve">, when </w:t>
      </w:r>
      <w:r w:rsidR="007E17EE">
        <w:t>multiple PCIs are associated to the same serving cell</w:t>
      </w:r>
      <w:r w:rsidR="0028770E">
        <w:t>.</w:t>
      </w:r>
    </w:p>
    <w:p w14:paraId="7A5DA95B" w14:textId="3B310EE1" w:rsidR="001255A5" w:rsidRDefault="006505B0" w:rsidP="0085302D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2: In the measurement event configuration, </w:t>
      </w:r>
      <w:r w:rsidR="007069D5">
        <w:rPr>
          <w:b/>
          <w:lang w:eastAsia="ko-KR"/>
        </w:rPr>
        <w:t xml:space="preserve">the UE needs to know which measurement </w:t>
      </w:r>
      <w:r w:rsidR="00D35D30">
        <w:rPr>
          <w:b/>
          <w:lang w:eastAsia="ko-KR"/>
        </w:rPr>
        <w:t>result of the serving cell</w:t>
      </w:r>
      <w:r w:rsidR="00560548">
        <w:rPr>
          <w:b/>
          <w:lang w:eastAsia="ko-KR"/>
        </w:rPr>
        <w:t xml:space="preserve"> PCI is used for the measurement event evaluation</w:t>
      </w:r>
      <w:r w:rsidR="00BC7529">
        <w:rPr>
          <w:b/>
          <w:lang w:eastAsia="ko-KR"/>
        </w:rPr>
        <w:t xml:space="preserve">, </w:t>
      </w:r>
      <w:r w:rsidR="00BC7529" w:rsidRPr="00F13B6A">
        <w:rPr>
          <w:b/>
        </w:rPr>
        <w:t>when multiple PCIs are associated to the same serving cell.</w:t>
      </w:r>
    </w:p>
    <w:p w14:paraId="305E9062" w14:textId="0A8166D2" w:rsidR="000F49A1" w:rsidRDefault="000F49A1" w:rsidP="0085302D">
      <w:pPr>
        <w:rPr>
          <w:b/>
          <w:lang w:eastAsia="ko-KR"/>
        </w:rPr>
      </w:pPr>
      <w:r>
        <w:rPr>
          <w:b/>
          <w:lang w:eastAsia="ko-KR"/>
        </w:rPr>
        <w:t xml:space="preserve">Observation </w:t>
      </w:r>
      <w:r w:rsidR="001203FE">
        <w:rPr>
          <w:b/>
          <w:lang w:eastAsia="ko-KR"/>
        </w:rPr>
        <w:t>3</w:t>
      </w:r>
      <w:r w:rsidR="005C678B">
        <w:rPr>
          <w:b/>
          <w:lang w:eastAsia="ko-KR"/>
        </w:rPr>
        <w:t>: In the measurement report</w:t>
      </w:r>
      <w:r w:rsidR="00291E9C">
        <w:rPr>
          <w:b/>
          <w:lang w:eastAsia="ko-KR"/>
        </w:rPr>
        <w:t xml:space="preserve">, the UE needs to know </w:t>
      </w:r>
      <w:r w:rsidR="004B0253">
        <w:rPr>
          <w:b/>
          <w:lang w:eastAsia="ko-KR"/>
        </w:rPr>
        <w:t>which measurement result of the serving cell PCI</w:t>
      </w:r>
      <w:r w:rsidR="00E87113">
        <w:rPr>
          <w:b/>
          <w:lang w:eastAsia="ko-KR"/>
        </w:rPr>
        <w:t xml:space="preserve"> is reported</w:t>
      </w:r>
      <w:r w:rsidR="0015585C" w:rsidRPr="00F13B6A">
        <w:rPr>
          <w:b/>
        </w:rPr>
        <w:t>, when multiple PCIs are associated to the same serving cell.</w:t>
      </w:r>
    </w:p>
    <w:p w14:paraId="432C031B" w14:textId="0204C45D" w:rsidR="006505B0" w:rsidRDefault="000753FE" w:rsidP="0085302D">
      <w:pPr>
        <w:rPr>
          <w:lang w:eastAsia="ko-KR"/>
        </w:rPr>
      </w:pPr>
      <w:r>
        <w:rPr>
          <w:lang w:eastAsia="ko-KR"/>
        </w:rPr>
        <w:t xml:space="preserve">To resolve the issue given in Observation 2, we </w:t>
      </w:r>
      <w:r w:rsidR="003D7759">
        <w:rPr>
          <w:lang w:eastAsia="ko-KR"/>
        </w:rPr>
        <w:t>think</w:t>
      </w:r>
      <w:r>
        <w:rPr>
          <w:lang w:eastAsia="ko-KR"/>
        </w:rPr>
        <w:t xml:space="preserve"> that </w:t>
      </w:r>
      <w:r w:rsidR="003D7759">
        <w:rPr>
          <w:lang w:eastAsia="ko-KR"/>
        </w:rPr>
        <w:t>the specification should be clarified on which PCI measurement result is used for the measurement event evaluation.</w:t>
      </w:r>
      <w:r w:rsidR="00A5609B">
        <w:rPr>
          <w:lang w:eastAsia="ko-KR"/>
        </w:rPr>
        <w:t xml:space="preserve"> </w:t>
      </w:r>
    </w:p>
    <w:p w14:paraId="0A0ED46D" w14:textId="5C739596" w:rsidR="000A01E3" w:rsidRPr="00603B11" w:rsidRDefault="000A01E3" w:rsidP="0085302D">
      <w:pPr>
        <w:rPr>
          <w:b/>
          <w:lang w:eastAsia="ko-KR"/>
        </w:rPr>
      </w:pPr>
      <w:r w:rsidRPr="00603B11">
        <w:rPr>
          <w:b/>
          <w:lang w:eastAsia="ko-KR"/>
        </w:rPr>
        <w:t>Proposal 1:</w:t>
      </w:r>
      <w:r w:rsidR="00603B11" w:rsidRPr="00603B11">
        <w:rPr>
          <w:b/>
          <w:lang w:eastAsia="ko-KR"/>
        </w:rPr>
        <w:t xml:space="preserve"> </w:t>
      </w:r>
      <w:r w:rsidR="00603B11" w:rsidRPr="00603B11">
        <w:rPr>
          <w:b/>
        </w:rPr>
        <w:t>When multiple PCIs are associated to the same serving cell</w:t>
      </w:r>
      <w:r w:rsidR="007C2E58">
        <w:rPr>
          <w:b/>
        </w:rPr>
        <w:t xml:space="preserve">, </w:t>
      </w:r>
      <w:r w:rsidR="003D7759">
        <w:rPr>
          <w:b/>
        </w:rPr>
        <w:t>RAN2 is</w:t>
      </w:r>
      <w:r w:rsidR="007C2E58">
        <w:rPr>
          <w:b/>
        </w:rPr>
        <w:t xml:space="preserve"> </w:t>
      </w:r>
      <w:r w:rsidR="003D7759">
        <w:rPr>
          <w:b/>
        </w:rPr>
        <w:t xml:space="preserve">kindly requested to clarify </w:t>
      </w:r>
      <w:r w:rsidR="007C2E58">
        <w:rPr>
          <w:b/>
        </w:rPr>
        <w:t xml:space="preserve">which </w:t>
      </w:r>
      <w:r w:rsidR="007C2E58">
        <w:rPr>
          <w:rFonts w:hint="eastAsia"/>
          <w:b/>
        </w:rPr>
        <w:t>PCI</w:t>
      </w:r>
      <w:r w:rsidR="007C2E58">
        <w:rPr>
          <w:b/>
        </w:rPr>
        <w:t xml:space="preserve"> is used </w:t>
      </w:r>
      <w:r w:rsidR="004126BB">
        <w:rPr>
          <w:b/>
        </w:rPr>
        <w:t xml:space="preserve">for </w:t>
      </w:r>
      <w:r w:rsidR="00EB1E87">
        <w:rPr>
          <w:b/>
        </w:rPr>
        <w:t xml:space="preserve">the </w:t>
      </w:r>
      <w:r w:rsidR="004126BB">
        <w:rPr>
          <w:b/>
        </w:rPr>
        <w:t>measurement event evaluation</w:t>
      </w:r>
      <w:r w:rsidR="005B13E6">
        <w:rPr>
          <w:b/>
        </w:rPr>
        <w:t xml:space="preserve"> (e.g. A3/A5)</w:t>
      </w:r>
      <w:r w:rsidR="004126BB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730A" w14:paraId="11E01D05" w14:textId="77777777" w:rsidTr="00B0730A">
        <w:tc>
          <w:tcPr>
            <w:tcW w:w="9855" w:type="dxa"/>
          </w:tcPr>
          <w:p w14:paraId="4BA19BBA" w14:textId="3EA23644" w:rsidR="00B0730A" w:rsidRDefault="00802E53" w:rsidP="0085302D">
            <w:pPr>
              <w:rPr>
                <w:lang w:eastAsia="ko-KR"/>
              </w:rPr>
            </w:pPr>
            <w:r w:rsidRPr="00802E53">
              <w:rPr>
                <w:noProof/>
                <w:lang w:val="en-US"/>
              </w:rPr>
              <w:drawing>
                <wp:inline distT="0" distB="0" distL="0" distR="0" wp14:anchorId="275DF199" wp14:editId="0796C8CE">
                  <wp:extent cx="6114415" cy="930275"/>
                  <wp:effectExtent l="0" t="0" r="635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5C4" w14:paraId="3AB1D46C" w14:textId="77777777" w:rsidTr="00B0730A">
        <w:tc>
          <w:tcPr>
            <w:tcW w:w="9855" w:type="dxa"/>
          </w:tcPr>
          <w:p w14:paraId="3E8CCD6E" w14:textId="2D44EF85" w:rsidR="003E45C4" w:rsidRPr="00B0730A" w:rsidRDefault="003E45C4" w:rsidP="0085302D">
            <w:pPr>
              <w:rPr>
                <w:noProof/>
                <w:lang w:val="en-US"/>
              </w:rPr>
            </w:pPr>
            <w:r w:rsidRPr="003E45C4">
              <w:rPr>
                <w:noProof/>
                <w:lang w:val="en-US"/>
              </w:rPr>
              <w:drawing>
                <wp:inline distT="0" distB="0" distL="0" distR="0" wp14:anchorId="7C9D73FD" wp14:editId="4C9FE5EF">
                  <wp:extent cx="6114415" cy="1979930"/>
                  <wp:effectExtent l="0" t="0" r="635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4415" cy="1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3C548C" w14:textId="2CD77678" w:rsidR="008D1D09" w:rsidRDefault="00907031" w:rsidP="0085302D">
      <w:pPr>
        <w:rPr>
          <w:lang w:eastAsia="ko-KR"/>
        </w:rPr>
      </w:pPr>
      <w:r>
        <w:rPr>
          <w:lang w:eastAsia="ko-KR"/>
        </w:rPr>
        <w:t>As quoted above, w</w:t>
      </w:r>
      <w:r w:rsidR="009E5A72">
        <w:rPr>
          <w:lang w:eastAsia="ko-KR"/>
        </w:rPr>
        <w:t>hen the UE needs to report the serving cell measurement results (e.g. piggybacked with other measurement results or periodic report)</w:t>
      </w:r>
      <w:r w:rsidR="0020324C">
        <w:rPr>
          <w:lang w:eastAsia="ko-KR"/>
        </w:rPr>
        <w:t>,</w:t>
      </w:r>
      <w:r w:rsidR="00E505F2">
        <w:rPr>
          <w:lang w:eastAsia="ko-KR"/>
        </w:rPr>
        <w:t xml:space="preserve"> the serving cell measurement result is included in the </w:t>
      </w:r>
      <w:r w:rsidR="008B3F4B" w:rsidRPr="00DE5341">
        <w:rPr>
          <w:rFonts w:eastAsia="MS PGothic"/>
          <w:i/>
          <w:iCs/>
        </w:rPr>
        <w:t>measResultServingCell</w:t>
      </w:r>
      <w:r w:rsidR="008B3F4B" w:rsidRPr="00DE5341">
        <w:rPr>
          <w:rFonts w:eastAsia="MS PGothic"/>
        </w:rPr>
        <w:t xml:space="preserve"> within </w:t>
      </w:r>
      <w:r w:rsidR="008B3F4B" w:rsidRPr="00DE5341">
        <w:rPr>
          <w:rFonts w:eastAsia="MS PGothic"/>
          <w:i/>
          <w:iCs/>
        </w:rPr>
        <w:t>measResultServingMOList</w:t>
      </w:r>
      <w:r w:rsidR="008B3F4B">
        <w:rPr>
          <w:rFonts w:eastAsia="MS PGothic"/>
          <w:iCs/>
        </w:rPr>
        <w:t xml:space="preserve">. </w:t>
      </w:r>
      <w:r w:rsidR="003F6F2F">
        <w:rPr>
          <w:rFonts w:eastAsia="MS PGothic"/>
          <w:iCs/>
        </w:rPr>
        <w:t xml:space="preserve">For each serving cell, the UE is only allowed to indicate </w:t>
      </w:r>
      <w:r w:rsidR="009A44DE">
        <w:rPr>
          <w:rFonts w:eastAsia="MS PGothic"/>
          <w:iCs/>
        </w:rPr>
        <w:t>one measurem</w:t>
      </w:r>
      <w:r w:rsidR="008834F9">
        <w:rPr>
          <w:rFonts w:eastAsia="MS PGothic"/>
          <w:iCs/>
        </w:rPr>
        <w:t>ent result</w:t>
      </w:r>
      <w:r w:rsidR="00000045">
        <w:rPr>
          <w:rFonts w:eastAsia="MS PGothic"/>
          <w:iCs/>
        </w:rPr>
        <w:t xml:space="preserve"> (i.e. </w:t>
      </w:r>
      <w:r w:rsidR="00366792" w:rsidRPr="00366792">
        <w:rPr>
          <w:i/>
        </w:rPr>
        <w:t>measResultServingCell</w:t>
      </w:r>
      <w:r w:rsidR="0029698B">
        <w:t xml:space="preserve"> including only one PCI</w:t>
      </w:r>
      <w:r w:rsidR="00000045">
        <w:rPr>
          <w:rFonts w:eastAsia="MS PGothic"/>
          <w:iCs/>
        </w:rPr>
        <w:t>)</w:t>
      </w:r>
      <w:r w:rsidR="008834F9">
        <w:rPr>
          <w:rFonts w:eastAsia="MS PGothic"/>
          <w:iCs/>
        </w:rPr>
        <w:t xml:space="preserve"> of the serving cell.</w:t>
      </w:r>
      <w:r w:rsidR="000B0C00">
        <w:rPr>
          <w:rFonts w:eastAsia="MS PGothic"/>
          <w:iCs/>
        </w:rPr>
        <w:t xml:space="preserve"> Then </w:t>
      </w:r>
      <w:r w:rsidR="000B0C00">
        <w:rPr>
          <w:lang w:eastAsia="ko-KR"/>
        </w:rPr>
        <w:t>the specification should be clarified on which PCI measurement result is included in the serving cell measurement report.</w:t>
      </w:r>
    </w:p>
    <w:p w14:paraId="34BD353B" w14:textId="4707630E" w:rsidR="00DC705B" w:rsidRPr="00413391" w:rsidRDefault="00A310E5" w:rsidP="0085302D">
      <w:pPr>
        <w:rPr>
          <w:b/>
          <w:lang w:eastAsia="ko-KR"/>
        </w:rPr>
      </w:pPr>
      <w:r w:rsidRPr="00413391">
        <w:rPr>
          <w:b/>
          <w:lang w:eastAsia="ko-KR"/>
        </w:rPr>
        <w:t>Proposal 2:</w:t>
      </w:r>
      <w:r w:rsidR="006A5E10" w:rsidRPr="00413391">
        <w:rPr>
          <w:b/>
        </w:rPr>
        <w:t xml:space="preserve"> When multiple PCIs are associated to the same serving cell, </w:t>
      </w:r>
      <w:r w:rsidR="00E05092" w:rsidRPr="00413391">
        <w:rPr>
          <w:rFonts w:eastAsia="MS PGothic"/>
          <w:b/>
          <w:iCs/>
        </w:rPr>
        <w:t xml:space="preserve">RAN2 is kindly requested to clarify which PCI measurement result is </w:t>
      </w:r>
      <w:r w:rsidR="00171805" w:rsidRPr="00413391">
        <w:rPr>
          <w:rFonts w:eastAsia="MS PGothic"/>
          <w:b/>
          <w:iCs/>
        </w:rPr>
        <w:t>included in the serving cell measurement report</w:t>
      </w:r>
      <w:r w:rsidR="00E05092" w:rsidRPr="00413391">
        <w:rPr>
          <w:rFonts w:eastAsia="MS PGothic"/>
          <w:b/>
          <w:iCs/>
        </w:rPr>
        <w:t xml:space="preserve"> (i.e. </w:t>
      </w:r>
      <w:r w:rsidR="000B2200" w:rsidRPr="00413391">
        <w:rPr>
          <w:rFonts w:eastAsia="MS PGothic"/>
          <w:b/>
          <w:i/>
          <w:iCs/>
        </w:rPr>
        <w:t>measResultServingCell</w:t>
      </w:r>
      <w:r w:rsidR="00E05092" w:rsidRPr="00413391">
        <w:rPr>
          <w:rFonts w:eastAsia="MS PGothic"/>
          <w:b/>
          <w:iCs/>
        </w:rPr>
        <w:t>)</w:t>
      </w:r>
      <w:r w:rsidR="00171805" w:rsidRPr="00413391">
        <w:rPr>
          <w:rFonts w:eastAsia="MS PGothic"/>
          <w:b/>
          <w:iCs/>
        </w:rPr>
        <w:t>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0C2F2C0D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70077260" w14:textId="77777777" w:rsidR="0082200E" w:rsidRPr="00F13B6A" w:rsidRDefault="0082200E" w:rsidP="0082200E">
      <w:pPr>
        <w:rPr>
          <w:b/>
          <w:lang w:eastAsia="ko-KR"/>
        </w:rPr>
      </w:pPr>
      <w:r w:rsidRPr="00F13B6A">
        <w:rPr>
          <w:b/>
          <w:lang w:eastAsia="ko-KR"/>
        </w:rPr>
        <w:t xml:space="preserve">Observation 1: </w:t>
      </w:r>
      <w:r w:rsidRPr="00F13B6A">
        <w:rPr>
          <w:b/>
        </w:rPr>
        <w:t xml:space="preserve">According to the current </w:t>
      </w:r>
      <w:r w:rsidRPr="00F13B6A">
        <w:rPr>
          <w:b/>
          <w:i/>
        </w:rPr>
        <w:t>servingCellMO</w:t>
      </w:r>
      <w:r w:rsidRPr="00F13B6A">
        <w:rPr>
          <w:b/>
        </w:rPr>
        <w:t xml:space="preserve"> configuration, the UE obtain</w:t>
      </w:r>
      <w:r>
        <w:rPr>
          <w:b/>
        </w:rPr>
        <w:t>s</w:t>
      </w:r>
      <w:r w:rsidRPr="00F13B6A">
        <w:rPr>
          <w:b/>
        </w:rPr>
        <w:t xml:space="preserve"> the measurement results of multiple PCI(s) </w:t>
      </w:r>
      <w:r>
        <w:rPr>
          <w:b/>
        </w:rPr>
        <w:t>(</w:t>
      </w:r>
      <w:r w:rsidRPr="00F13B6A">
        <w:rPr>
          <w:b/>
        </w:rPr>
        <w:t xml:space="preserve">including </w:t>
      </w:r>
      <w:r>
        <w:rPr>
          <w:b/>
        </w:rPr>
        <w:t>multiple</w:t>
      </w:r>
      <w:r w:rsidRPr="00F13B6A">
        <w:rPr>
          <w:b/>
        </w:rPr>
        <w:t xml:space="preserve"> serving cell PCIs</w:t>
      </w:r>
      <w:r>
        <w:rPr>
          <w:b/>
        </w:rPr>
        <w:t>)</w:t>
      </w:r>
      <w:r w:rsidRPr="00F13B6A">
        <w:rPr>
          <w:b/>
        </w:rPr>
        <w:t>, when multiple PCIs are associated to the same serving cell.</w:t>
      </w:r>
    </w:p>
    <w:p w14:paraId="5E939B62" w14:textId="77777777" w:rsidR="00475886" w:rsidRDefault="00475886" w:rsidP="00475886">
      <w:pPr>
        <w:rPr>
          <w:b/>
          <w:lang w:eastAsia="ko-KR"/>
        </w:rPr>
      </w:pPr>
      <w:r>
        <w:rPr>
          <w:b/>
          <w:lang w:eastAsia="ko-KR"/>
        </w:rPr>
        <w:lastRenderedPageBreak/>
        <w:t xml:space="preserve">Observation 2: In the measurement event configuration, the UE needs to know which measurement result of the serving cell PCI is used for the measurement event evaluation, </w:t>
      </w:r>
      <w:r w:rsidRPr="00F13B6A">
        <w:rPr>
          <w:b/>
        </w:rPr>
        <w:t>when multiple PCIs are associated to the same serving cell.</w:t>
      </w:r>
    </w:p>
    <w:p w14:paraId="5FBCD7D7" w14:textId="77777777" w:rsidR="00475886" w:rsidRDefault="00475886" w:rsidP="00475886">
      <w:pPr>
        <w:rPr>
          <w:b/>
          <w:lang w:eastAsia="ko-KR"/>
        </w:rPr>
      </w:pPr>
      <w:r>
        <w:rPr>
          <w:b/>
          <w:lang w:eastAsia="ko-KR"/>
        </w:rPr>
        <w:t>Observation 3: In the measurement report, the UE needs to know which measurement result of the serving cell PCI is reported</w:t>
      </w:r>
      <w:r w:rsidRPr="00F13B6A">
        <w:rPr>
          <w:b/>
        </w:rPr>
        <w:t>, when multiple PCIs are associated to the same serving cell.</w:t>
      </w:r>
    </w:p>
    <w:p w14:paraId="68F11E5E" w14:textId="77777777" w:rsidR="00F232A4" w:rsidRPr="00603B11" w:rsidRDefault="00F232A4" w:rsidP="00F232A4">
      <w:pPr>
        <w:rPr>
          <w:b/>
          <w:lang w:eastAsia="ko-KR"/>
        </w:rPr>
      </w:pPr>
      <w:r w:rsidRPr="00603B11">
        <w:rPr>
          <w:b/>
          <w:lang w:eastAsia="ko-KR"/>
        </w:rPr>
        <w:t xml:space="preserve">Proposal 1: </w:t>
      </w:r>
      <w:r w:rsidRPr="00603B11">
        <w:rPr>
          <w:b/>
        </w:rPr>
        <w:t>When multiple PCIs are associated to the same serving cell</w:t>
      </w:r>
      <w:r>
        <w:rPr>
          <w:b/>
        </w:rPr>
        <w:t xml:space="preserve">, RAN2 is kindly requested to clarify which </w:t>
      </w:r>
      <w:r>
        <w:rPr>
          <w:rFonts w:hint="eastAsia"/>
          <w:b/>
        </w:rPr>
        <w:t>PCI</w:t>
      </w:r>
      <w:r>
        <w:rPr>
          <w:b/>
        </w:rPr>
        <w:t xml:space="preserve"> is used for the measurement event evaluation (e.g. A3/A5).</w:t>
      </w:r>
    </w:p>
    <w:p w14:paraId="207265AE" w14:textId="77777777" w:rsidR="007E37BA" w:rsidRPr="00413391" w:rsidRDefault="007E37BA" w:rsidP="007E37BA">
      <w:pPr>
        <w:rPr>
          <w:b/>
          <w:lang w:eastAsia="ko-KR"/>
        </w:rPr>
      </w:pPr>
      <w:r w:rsidRPr="00413391">
        <w:rPr>
          <w:b/>
          <w:lang w:eastAsia="ko-KR"/>
        </w:rPr>
        <w:t>Proposal 2:</w:t>
      </w:r>
      <w:r w:rsidRPr="00413391">
        <w:rPr>
          <w:b/>
        </w:rPr>
        <w:t xml:space="preserve"> When multiple PCIs are associated to the same serving cell, </w:t>
      </w:r>
      <w:r w:rsidRPr="00413391">
        <w:rPr>
          <w:rFonts w:eastAsia="MS PGothic"/>
          <w:b/>
          <w:iCs/>
        </w:rPr>
        <w:t xml:space="preserve">RAN2 is kindly requested to clarify which PCI measurement result is included in the serving cell measurement report (i.e. </w:t>
      </w:r>
      <w:r w:rsidRPr="00413391">
        <w:rPr>
          <w:rFonts w:eastAsia="MS PGothic"/>
          <w:b/>
          <w:i/>
          <w:iCs/>
        </w:rPr>
        <w:t>measResultServingCell</w:t>
      </w:r>
      <w:r w:rsidRPr="00413391">
        <w:rPr>
          <w:rFonts w:eastAsia="MS PGothic"/>
          <w:b/>
          <w:iCs/>
        </w:rPr>
        <w:t>).</w:t>
      </w:r>
    </w:p>
    <w:p w14:paraId="435C8F40" w14:textId="77777777" w:rsidR="00C6681B" w:rsidRDefault="00C6681B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593FFB0A" w14:textId="6EB9D13D" w:rsidR="00E6655C" w:rsidRDefault="00823056" w:rsidP="00A91E65">
      <w:pPr>
        <w:spacing w:afterLines="50" w:line="240" w:lineRule="auto"/>
        <w:jc w:val="left"/>
      </w:pPr>
      <w:r>
        <w:t xml:space="preserve">[1] </w:t>
      </w:r>
      <w:r w:rsidR="00A91E65">
        <w:t>RAN2#114-e meeting minutes.</w:t>
      </w:r>
    </w:p>
    <w:p w14:paraId="699D115C" w14:textId="316B068B" w:rsidR="00A91E65" w:rsidRDefault="00A91E65" w:rsidP="00A91E65">
      <w:pPr>
        <w:spacing w:afterLines="50" w:line="240" w:lineRule="auto"/>
        <w:jc w:val="left"/>
      </w:pPr>
      <w:r>
        <w:t>[2] RAN#92-e meeting minutes.</w:t>
      </w:r>
    </w:p>
    <w:p w14:paraId="71E6E240" w14:textId="4ACC86E0" w:rsidR="00A62DB8" w:rsidRDefault="00A62DB8" w:rsidP="00A91E65">
      <w:pPr>
        <w:spacing w:afterLines="50" w:line="240" w:lineRule="auto"/>
        <w:jc w:val="left"/>
      </w:pPr>
      <w:r>
        <w:t xml:space="preserve">[3] </w:t>
      </w:r>
      <w:r w:rsidR="00A179D9">
        <w:t>3</w:t>
      </w:r>
      <w:r w:rsidR="00A179D9">
        <w:rPr>
          <w:rFonts w:hint="eastAsia"/>
        </w:rPr>
        <w:t>GPP</w:t>
      </w:r>
      <w:r w:rsidR="00A179D9">
        <w:t xml:space="preserve"> TS 38.331, “</w:t>
      </w:r>
      <w:r w:rsidR="00FD0D24">
        <w:t xml:space="preserve">NR; </w:t>
      </w:r>
      <w:r w:rsidR="00FD0D24" w:rsidRPr="00DE5341">
        <w:t>Radio Resource Control (RRC) protocol specification</w:t>
      </w:r>
      <w:r w:rsidR="00A179D9">
        <w:t>”.</w:t>
      </w:r>
    </w:p>
    <w:p w14:paraId="13E3D2CF" w14:textId="146CC217" w:rsidR="00727B33" w:rsidRDefault="00727B33" w:rsidP="00727B33">
      <w:pPr>
        <w:spacing w:afterLines="50" w:line="240" w:lineRule="auto"/>
        <w:jc w:val="left"/>
      </w:pPr>
      <w:r>
        <w:t>[4] RAN2#116-e meeting minutes.</w:t>
      </w:r>
    </w:p>
    <w:p w14:paraId="235F238E" w14:textId="77777777" w:rsidR="00727B33" w:rsidRDefault="00727B33" w:rsidP="00A91E65">
      <w:pPr>
        <w:spacing w:afterLines="50" w:line="240" w:lineRule="auto"/>
        <w:jc w:val="left"/>
      </w:pP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63567" w14:textId="77777777" w:rsidR="00CF03F9" w:rsidRDefault="00CF03F9">
      <w:pPr>
        <w:spacing w:after="0" w:line="240" w:lineRule="auto"/>
      </w:pPr>
      <w:r>
        <w:separator/>
      </w:r>
    </w:p>
  </w:endnote>
  <w:endnote w:type="continuationSeparator" w:id="0">
    <w:p w14:paraId="53DA85BE" w14:textId="77777777" w:rsidR="00CF03F9" w:rsidRDefault="00CF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E9A82" w14:textId="77777777" w:rsidR="00CF03F9" w:rsidRDefault="00CF03F9">
      <w:pPr>
        <w:spacing w:after="0" w:line="240" w:lineRule="auto"/>
      </w:pPr>
      <w:r>
        <w:separator/>
      </w:r>
    </w:p>
  </w:footnote>
  <w:footnote w:type="continuationSeparator" w:id="0">
    <w:p w14:paraId="3C4E870E" w14:textId="77777777" w:rsidR="00CF03F9" w:rsidRDefault="00CF0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261B"/>
    <w:multiLevelType w:val="hybridMultilevel"/>
    <w:tmpl w:val="2A52D004"/>
    <w:lvl w:ilvl="0" w:tplc="EC5E82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552B3"/>
    <w:multiLevelType w:val="hybridMultilevel"/>
    <w:tmpl w:val="BC744674"/>
    <w:lvl w:ilvl="0" w:tplc="EC5E82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42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Tms Rmn" w:hAnsi="Tms Rmn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12A72"/>
    <w:multiLevelType w:val="hybridMultilevel"/>
    <w:tmpl w:val="166CA6C6"/>
    <w:lvl w:ilvl="0" w:tplc="BF86EC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4"/>
  </w:num>
  <w:num w:numId="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0"/>
  </w:num>
  <w:num w:numId="8">
    <w:abstractNumId w:val="25"/>
  </w:num>
  <w:num w:numId="9">
    <w:abstractNumId w:val="6"/>
  </w:num>
  <w:num w:numId="10">
    <w:abstractNumId w:val="5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21"/>
  </w:num>
  <w:num w:numId="18">
    <w:abstractNumId w:val="1"/>
  </w:num>
  <w:num w:numId="19">
    <w:abstractNumId w:val="1"/>
  </w:num>
  <w:num w:numId="20">
    <w:abstractNumId w:val="19"/>
  </w:num>
  <w:num w:numId="21">
    <w:abstractNumId w:val="1"/>
  </w:num>
  <w:num w:numId="22">
    <w:abstractNumId w:val="2"/>
  </w:num>
  <w:num w:numId="23">
    <w:abstractNumId w:val="4"/>
  </w:num>
  <w:num w:numId="24">
    <w:abstractNumId w:val="22"/>
  </w:num>
  <w:num w:numId="25">
    <w:abstractNumId w:val="12"/>
  </w:num>
  <w:num w:numId="26">
    <w:abstractNumId w:val="7"/>
  </w:num>
  <w:num w:numId="27">
    <w:abstractNumId w:val="23"/>
  </w:num>
  <w:num w:numId="28">
    <w:abstractNumId w:val="1"/>
  </w:num>
  <w:num w:numId="29">
    <w:abstractNumId w:val="24"/>
  </w:num>
  <w:num w:numId="30">
    <w:abstractNumId w:val="1"/>
  </w:num>
  <w:num w:numId="31">
    <w:abstractNumId w:val="1"/>
  </w:num>
  <w:num w:numId="32">
    <w:abstractNumId w:val="28"/>
  </w:num>
  <w:num w:numId="33">
    <w:abstractNumId w:val="17"/>
  </w:num>
  <w:num w:numId="34">
    <w:abstractNumId w:val="9"/>
  </w:num>
  <w:num w:numId="35">
    <w:abstractNumId w:val="1"/>
  </w:num>
  <w:num w:numId="36">
    <w:abstractNumId w:val="1"/>
  </w:num>
  <w:num w:numId="37">
    <w:abstractNumId w:val="18"/>
  </w:num>
  <w:num w:numId="38">
    <w:abstractNumId w:val="13"/>
  </w:num>
  <w:num w:numId="39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5"/>
  </w:num>
  <w:num w:numId="42">
    <w:abstractNumId w:val="10"/>
  </w:num>
  <w:num w:numId="4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C45"/>
    <w:rsid w:val="00004180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2F5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4A3"/>
    <w:rsid w:val="000B4637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8E"/>
    <w:rsid w:val="000E37B9"/>
    <w:rsid w:val="000E3DF2"/>
    <w:rsid w:val="000E3E39"/>
    <w:rsid w:val="000E4363"/>
    <w:rsid w:val="000E4498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67F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DB6"/>
    <w:rsid w:val="0013438E"/>
    <w:rsid w:val="00134795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FC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875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CEB"/>
    <w:rsid w:val="00190D1D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DEB"/>
    <w:rsid w:val="00194F0A"/>
    <w:rsid w:val="00194F82"/>
    <w:rsid w:val="001957DC"/>
    <w:rsid w:val="00195E21"/>
    <w:rsid w:val="00195F47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B19"/>
    <w:rsid w:val="001B5EDB"/>
    <w:rsid w:val="001B5F18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93B"/>
    <w:rsid w:val="001D3F46"/>
    <w:rsid w:val="001D4294"/>
    <w:rsid w:val="001D4A45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25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082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45CE"/>
    <w:rsid w:val="00394601"/>
    <w:rsid w:val="00394836"/>
    <w:rsid w:val="003951F4"/>
    <w:rsid w:val="00395350"/>
    <w:rsid w:val="00396174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78A"/>
    <w:rsid w:val="003D17BA"/>
    <w:rsid w:val="003D182B"/>
    <w:rsid w:val="003D1CE2"/>
    <w:rsid w:val="003D1D86"/>
    <w:rsid w:val="003D25A1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3E02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6056"/>
    <w:rsid w:val="003F6447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85A"/>
    <w:rsid w:val="00407319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341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9F"/>
    <w:rsid w:val="004C04E1"/>
    <w:rsid w:val="004C05D5"/>
    <w:rsid w:val="004C07CE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2C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7ED"/>
    <w:rsid w:val="00521AF0"/>
    <w:rsid w:val="00521C1F"/>
    <w:rsid w:val="00521EC7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E88"/>
    <w:rsid w:val="00530FE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5BA5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0A2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3E6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50B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1AD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5E10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17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4F2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70"/>
    <w:rsid w:val="006E3132"/>
    <w:rsid w:val="006E32C0"/>
    <w:rsid w:val="006E38AB"/>
    <w:rsid w:val="006E3954"/>
    <w:rsid w:val="006E3B29"/>
    <w:rsid w:val="006E3B9D"/>
    <w:rsid w:val="006E4622"/>
    <w:rsid w:val="006E4735"/>
    <w:rsid w:val="006E4BC3"/>
    <w:rsid w:val="006E5149"/>
    <w:rsid w:val="006E543E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53AB"/>
    <w:rsid w:val="0071553B"/>
    <w:rsid w:val="0071567C"/>
    <w:rsid w:val="007158AA"/>
    <w:rsid w:val="00715A83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AF2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A1D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7F3"/>
    <w:rsid w:val="00827847"/>
    <w:rsid w:val="00827DA2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75FD"/>
    <w:rsid w:val="00837D90"/>
    <w:rsid w:val="00837F74"/>
    <w:rsid w:val="00840116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D62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879A4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54C"/>
    <w:rsid w:val="008B2934"/>
    <w:rsid w:val="008B2D79"/>
    <w:rsid w:val="008B300D"/>
    <w:rsid w:val="008B318C"/>
    <w:rsid w:val="008B3AEA"/>
    <w:rsid w:val="008B3B86"/>
    <w:rsid w:val="008B3F4B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70C"/>
    <w:rsid w:val="008D272F"/>
    <w:rsid w:val="008D2A16"/>
    <w:rsid w:val="008D37D1"/>
    <w:rsid w:val="008D3D0A"/>
    <w:rsid w:val="008D3EEC"/>
    <w:rsid w:val="008D3F66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F2"/>
    <w:rsid w:val="00A168C4"/>
    <w:rsid w:val="00A16A76"/>
    <w:rsid w:val="00A16AF2"/>
    <w:rsid w:val="00A16C3A"/>
    <w:rsid w:val="00A16F98"/>
    <w:rsid w:val="00A179D9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908"/>
    <w:rsid w:val="00A30A62"/>
    <w:rsid w:val="00A30F00"/>
    <w:rsid w:val="00A310E5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245"/>
    <w:rsid w:val="00A54531"/>
    <w:rsid w:val="00A5467F"/>
    <w:rsid w:val="00A55087"/>
    <w:rsid w:val="00A5528F"/>
    <w:rsid w:val="00A55678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C8"/>
    <w:rsid w:val="00A621C7"/>
    <w:rsid w:val="00A629E0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954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6C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831"/>
    <w:rsid w:val="00B21ADE"/>
    <w:rsid w:val="00B21B47"/>
    <w:rsid w:val="00B21B55"/>
    <w:rsid w:val="00B22613"/>
    <w:rsid w:val="00B22868"/>
    <w:rsid w:val="00B22963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7973"/>
    <w:rsid w:val="00B67E14"/>
    <w:rsid w:val="00B70262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6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1F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B5A"/>
    <w:rsid w:val="00D15E99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009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728D"/>
    <w:rsid w:val="00DD7C04"/>
    <w:rsid w:val="00DD7E3E"/>
    <w:rsid w:val="00DE00A2"/>
    <w:rsid w:val="00DE01D2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092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1FC9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61C"/>
    <w:rsid w:val="00EE198E"/>
    <w:rsid w:val="00EE21AD"/>
    <w:rsid w:val="00EE2A20"/>
    <w:rsid w:val="00EE3623"/>
    <w:rsid w:val="00EE3B58"/>
    <w:rsid w:val="00EE40CD"/>
    <w:rsid w:val="00EE4275"/>
    <w:rsid w:val="00EE4454"/>
    <w:rsid w:val="00EE4658"/>
    <w:rsid w:val="00EE4AC4"/>
    <w:rsid w:val="00EE53F0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73FA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DA8"/>
    <w:rsid w:val="00F23F4E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57A"/>
    <w:rsid w:val="00F91EE9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706C4-8BBC-44B9-8500-5E7A477B4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4093</TotalTime>
  <Pages>5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2736</cp:revision>
  <cp:lastPrinted>2018-04-04T09:40:00Z</cp:lastPrinted>
  <dcterms:created xsi:type="dcterms:W3CDTF">2018-11-01T12:39:00Z</dcterms:created>
  <dcterms:modified xsi:type="dcterms:W3CDTF">2022-02-14T09:03:00Z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